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164" w14:textId="02632032" w:rsidR="00F10CD0" w:rsidRPr="0084564C" w:rsidRDefault="00CF4DA1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4DA1">
        <w:rPr>
          <w:rFonts w:ascii="Times New Roman" w:hAnsi="Times New Roman" w:cs="Times New Roman"/>
          <w:b/>
          <w:sz w:val="24"/>
          <w:szCs w:val="24"/>
        </w:rPr>
        <w:t>P</w:t>
      </w:r>
      <w:r w:rsidR="008D4074">
        <w:rPr>
          <w:rFonts w:ascii="Times New Roman" w:hAnsi="Times New Roman" w:cs="Times New Roman"/>
          <w:b/>
          <w:sz w:val="24"/>
          <w:szCs w:val="24"/>
        </w:rPr>
        <w:t>er</w:t>
      </w:r>
      <w:r w:rsidRPr="00CF4DA1">
        <w:rPr>
          <w:rFonts w:ascii="Times New Roman" w:hAnsi="Times New Roman" w:cs="Times New Roman"/>
          <w:b/>
          <w:sz w:val="24"/>
          <w:szCs w:val="24"/>
        </w:rPr>
        <w:t>fluor</w:t>
      </w:r>
      <w:r w:rsidR="00766017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="00766017">
        <w:rPr>
          <w:rFonts w:ascii="Times New Roman" w:hAnsi="Times New Roman" w:cs="Times New Roman"/>
          <w:b/>
          <w:sz w:val="24"/>
          <w:szCs w:val="24"/>
        </w:rPr>
        <w:t xml:space="preserve"> junginiai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F48" w14:paraId="2762E255" w14:textId="77777777" w:rsidTr="00406F48">
        <w:tc>
          <w:tcPr>
            <w:tcW w:w="9854" w:type="dxa"/>
          </w:tcPr>
          <w:p w14:paraId="4DC5C7C0" w14:textId="27F29EAF" w:rsidR="004A5511" w:rsidRDefault="004A5511" w:rsidP="002C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20D0" w:rsidRPr="002C20D0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20D0"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PFOS ir PFOA aptikta Kuršių marių ir Baltijos jūros 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vandenyje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gyvuose organizmuose, dugno nuosėdose aptikta</w:t>
            </w:r>
            <w:r w:rsidR="005159F8">
              <w:rPr>
                <w:rFonts w:ascii="Times New Roman" w:hAnsi="Times New Roman" w:cs="Times New Roman"/>
                <w:sz w:val="24"/>
                <w:szCs w:val="24"/>
              </w:rPr>
              <w:t xml:space="preserve"> nebuvo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F695B1" w14:textId="77777777" w:rsidR="004A5511" w:rsidRDefault="004A5511" w:rsidP="002C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F58D" w14:textId="0267D208" w:rsidR="004A5511" w:rsidRDefault="004A5511" w:rsidP="004A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PFOS vidutinės metinės koncentracijos vandenyje visose tyrimų vietose viršijo aplinkos kokybės standartą</w:t>
            </w:r>
            <w:r w:rsidR="00DB0436">
              <w:rPr>
                <w:rFonts w:ascii="Times New Roman" w:hAnsi="Times New Roman" w:cs="Times New Roman"/>
                <w:sz w:val="24"/>
                <w:szCs w:val="24"/>
              </w:rPr>
              <w:t xml:space="preserve"> (AKS 0,000</w:t>
            </w:r>
            <w:r w:rsidR="00DB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DB0436">
              <w:rPr>
                <w:rFonts w:ascii="Calibri" w:hAnsi="Calibri" w:cs="Times New Roman"/>
                <w:sz w:val="24"/>
                <w:szCs w:val="24"/>
                <w:lang w:val="en-US"/>
              </w:rPr>
              <w:t>µ</w:t>
            </w:r>
            <w:r w:rsidR="00DB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g/l</w:t>
            </w:r>
            <w:r w:rsidR="00DB04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3E9B5C" w14:textId="77777777" w:rsidR="00B401C0" w:rsidRDefault="00B401C0" w:rsidP="002C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3102" w14:textId="687E469C" w:rsidR="00B401C0" w:rsidRPr="00E47A6C" w:rsidRDefault="00B401C0" w:rsidP="002C20D0">
            <w:pPr>
              <w:jc w:val="both"/>
            </w:pPr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 xml:space="preserve">Tolimesni PFOS tyrimai Kuršių marių </w:t>
            </w:r>
            <w:r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 xml:space="preserve">ir Baltijos jūros </w:t>
            </w:r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 xml:space="preserve">vandenyje, dugno nuosėdose ir </w:t>
            </w:r>
            <w:proofErr w:type="spellStart"/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>biotoje</w:t>
            </w:r>
            <w:proofErr w:type="spellEnd"/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 xml:space="preserve"> numatyti </w:t>
            </w:r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  <w:lang w:val="en-US"/>
              </w:rPr>
              <w:t xml:space="preserve">2021-2023 </w:t>
            </w:r>
            <w:proofErr w:type="spellStart"/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  <w:lang w:val="en-US"/>
              </w:rPr>
              <w:t>metais</w:t>
            </w:r>
            <w:proofErr w:type="spellEnd"/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77012">
              <w:rPr>
                <w:rFonts w:ascii="Times New Roman" w:eastAsia="TimesNewRomanPS-BoldItalicMT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791B118" w14:textId="77777777"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4B43B3DE" w14:textId="77777777"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64F30793" w14:textId="11D935AB" w:rsidR="00AF1A0E" w:rsidRDefault="004A7A6F" w:rsidP="00DB043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SabonLTStd-Roman" w:eastAsia="SabonLTStd-Roman" w:cs="SabonLTStd-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766017" w:rsidRPr="004A7A6F">
        <w:rPr>
          <w:rFonts w:ascii="Times New Roman" w:hAnsi="Times New Roman" w:cs="Times New Roman"/>
          <w:sz w:val="24"/>
          <w:szCs w:val="24"/>
        </w:rPr>
        <w:t>fluorinti</w:t>
      </w:r>
      <w:proofErr w:type="spellEnd"/>
      <w:r w:rsidR="00766017" w:rsidRPr="004A7A6F">
        <w:rPr>
          <w:rFonts w:ascii="Times New Roman" w:hAnsi="Times New Roman" w:cs="Times New Roman"/>
          <w:sz w:val="24"/>
          <w:szCs w:val="24"/>
        </w:rPr>
        <w:t xml:space="preserve"> junginiai sudaro didelę grupę žmogaus sukurtų </w:t>
      </w:r>
      <w:r w:rsidR="00577012" w:rsidRPr="004A7A6F">
        <w:rPr>
          <w:rFonts w:ascii="Times New Roman" w:hAnsi="Times New Roman" w:cs="Times New Roman"/>
          <w:sz w:val="24"/>
          <w:szCs w:val="24"/>
        </w:rPr>
        <w:t xml:space="preserve">patvarių </w:t>
      </w:r>
      <w:r w:rsidR="00766017" w:rsidRPr="004A7A6F">
        <w:rPr>
          <w:rFonts w:ascii="Times New Roman" w:hAnsi="Times New Roman" w:cs="Times New Roman"/>
          <w:sz w:val="24"/>
          <w:szCs w:val="24"/>
        </w:rPr>
        <w:t>cheminių medžiagų</w:t>
      </w:r>
      <w:r w:rsidR="00D63788" w:rsidRPr="004A7A6F">
        <w:rPr>
          <w:rFonts w:ascii="Times New Roman" w:hAnsi="Times New Roman" w:cs="Times New Roman"/>
          <w:sz w:val="24"/>
          <w:szCs w:val="24"/>
        </w:rPr>
        <w:t xml:space="preserve"> (daugiau nei </w:t>
      </w:r>
      <w:r w:rsidR="00D63788" w:rsidRPr="004A7A6F">
        <w:rPr>
          <w:rFonts w:ascii="Times New Roman" w:hAnsi="Times New Roman" w:cs="Times New Roman"/>
          <w:sz w:val="24"/>
          <w:szCs w:val="24"/>
          <w:lang w:val="en-US"/>
        </w:rPr>
        <w:t>4700)</w:t>
      </w:r>
      <w:r w:rsidR="00766017" w:rsidRPr="004A7A6F">
        <w:rPr>
          <w:rFonts w:ascii="Times New Roman" w:hAnsi="Times New Roman" w:cs="Times New Roman"/>
          <w:sz w:val="24"/>
          <w:szCs w:val="24"/>
        </w:rPr>
        <w:t xml:space="preserve">, gaminamų jau beveik </w:t>
      </w:r>
      <w:r w:rsidR="00766017" w:rsidRPr="004A7A6F">
        <w:rPr>
          <w:rFonts w:ascii="Times New Roman" w:hAnsi="Times New Roman" w:cs="Times New Roman"/>
          <w:sz w:val="24"/>
          <w:szCs w:val="24"/>
          <w:lang w:val="en-US"/>
        </w:rPr>
        <w:t>50 met</w:t>
      </w:r>
      <w:r w:rsidR="00766017" w:rsidRPr="004A7A6F">
        <w:rPr>
          <w:rFonts w:ascii="Times New Roman" w:hAnsi="Times New Roman" w:cs="Times New Roman"/>
          <w:sz w:val="24"/>
          <w:szCs w:val="24"/>
        </w:rPr>
        <w:t>ų</w:t>
      </w:r>
      <w:r w:rsidR="00E21145" w:rsidRPr="004A7A6F">
        <w:rPr>
          <w:rFonts w:ascii="Times New Roman" w:hAnsi="Times New Roman" w:cs="Times New Roman"/>
          <w:sz w:val="24"/>
          <w:szCs w:val="24"/>
        </w:rPr>
        <w:t xml:space="preserve"> </w:t>
      </w:r>
      <w:r w:rsidR="007D0DDC">
        <w:rPr>
          <w:rFonts w:ascii="Times New Roman" w:hAnsi="Times New Roman" w:cs="Times New Roman"/>
          <w:sz w:val="24"/>
          <w:szCs w:val="24"/>
        </w:rPr>
        <w:t>[1, 3]</w:t>
      </w:r>
      <w:r w:rsidR="00766017" w:rsidRPr="004A7A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29C3" w:rsidRPr="004A7A6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DF29C3" w:rsidRPr="004A7A6F">
        <w:rPr>
          <w:rFonts w:ascii="Times New Roman" w:hAnsi="Times New Roman" w:cs="Times New Roman"/>
          <w:sz w:val="24"/>
          <w:szCs w:val="24"/>
        </w:rPr>
        <w:t>ėl</w:t>
      </w:r>
      <w:proofErr w:type="spellEnd"/>
      <w:r w:rsidR="00DF29C3" w:rsidRPr="004A7A6F">
        <w:rPr>
          <w:rFonts w:ascii="Times New Roman" w:hAnsi="Times New Roman" w:cs="Times New Roman"/>
          <w:sz w:val="24"/>
          <w:szCs w:val="24"/>
        </w:rPr>
        <w:t xml:space="preserve"> medžiagų patvarumo </w:t>
      </w:r>
      <w:proofErr w:type="spellStart"/>
      <w:r w:rsidR="00DF29C3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>fluorinti</w:t>
      </w:r>
      <w:proofErr w:type="spellEnd"/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junginiai plačiai </w:t>
      </w:r>
      <w:r w:rsidR="00DF29C3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buvo </w:t>
      </w:r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naudojami pramonėje: </w:t>
      </w:r>
      <w:r w:rsidR="00917383">
        <w:rPr>
          <w:rFonts w:ascii="Times New Roman" w:hAnsi="Times New Roman" w:cs="Times New Roman"/>
          <w:sz w:val="24"/>
          <w:szCs w:val="24"/>
          <w:shd w:val="clear" w:color="auto" w:fill="FFFFFF"/>
        </w:rPr>
        <w:t>buities</w:t>
      </w:r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reikmenims (nesvylančios </w:t>
      </w:r>
      <w:r w:rsidR="00C8212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teflono </w:t>
      </w:r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>keptuvių dangos</w:t>
      </w:r>
      <w:r w:rsidR="009173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17383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>atsparių vandeniui audinių, polimerų gamyboje, maisto produktų pakuotėms ir kt.</w:t>
      </w:r>
      <w:r w:rsidR="001D08E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E21145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>gaisrų</w:t>
      </w:r>
      <w:r w:rsidR="009173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gesinimo putose.</w:t>
      </w:r>
      <w:r w:rsidR="00DF29C3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21A" w:rsidRPr="004A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 vandens aplinką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DB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fluorinti</w:t>
      </w:r>
      <w:proofErr w:type="spellEnd"/>
      <w:r w:rsidR="00DB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junginiai patenka su nuotekomis, nusėda iš oro dėl pramoninės veiklos. 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didelės šių medžiagų grupės, vis dar trūksta informacijos, kokie konkrečiai </w:t>
      </w:r>
      <w:proofErr w:type="spellStart"/>
      <w:r w:rsid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fluorinti</w:t>
      </w:r>
      <w:proofErr w:type="spellEnd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junginiai ir kokiais kiekiais Europoje yra naudojami. Dėl metodų trūkumo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 visos grupės tiriama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tik 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10-30 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medžiagų.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erfluorooktano</w:t>
      </w:r>
      <w:proofErr w:type="spellEnd"/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sulfoninė</w:t>
      </w:r>
      <w:proofErr w:type="spellEnd"/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rūgštis (PFOS) 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proofErr w:type="spellStart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erfluorooktaninė</w:t>
      </w:r>
      <w:proofErr w:type="spellEnd"/>
      <w:r w:rsidR="009E65CD" w:rsidRPr="00577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rūgštis (PFOA)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yra plačiausiai ištirti junginiai</w:t>
      </w:r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upių nuotėkiu į Baltijos jūrą patenka </w:t>
      </w:r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77 % PFOS </w:t>
      </w:r>
      <w:proofErr w:type="spellStart"/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</w:t>
      </w:r>
      <w:proofErr w:type="spellEnd"/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48-59 % PFOA, </w:t>
      </w:r>
      <w:proofErr w:type="spellStart"/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 atmosferos nusėda </w:t>
      </w:r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20-21 % PFOS</w:t>
      </w:r>
      <w:r w:rsidR="00057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7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</w:t>
      </w:r>
      <w:proofErr w:type="spellEnd"/>
      <w:r w:rsidR="00057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34-43 % PFOA</w:t>
      </w:r>
      <w:r w:rsidR="00BA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BA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Skaičiavimai</w:t>
      </w:r>
      <w:proofErr w:type="spellEnd"/>
      <w:r w:rsidR="00BA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labai</w:t>
      </w:r>
      <w:proofErr w:type="spellEnd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įvairūs</w:t>
      </w:r>
      <w:proofErr w:type="spellEnd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</w:t>
      </w:r>
      <w:proofErr w:type="spellEnd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didel</w:t>
      </w:r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ėm</w:t>
      </w:r>
      <w:proofErr w:type="spellEnd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paklaidom, </w:t>
      </w:r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</w:t>
      </w:r>
      <w:proofErr w:type="spellStart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žniausiai</w:t>
      </w:r>
      <w:proofErr w:type="spellEnd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lokalius matavimus Švedijoje ar Suomijoje perskaičiuojant Baltijos jūros baseinui, atsižvelgiant į gyventojų tankumą, kritulių kiekį atskirose priekrantės zonose.</w:t>
      </w:r>
      <w:proofErr w:type="gramEnd"/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upėmis į Baltijos jūrą gali patekti iki tonos PFOS per metus</w:t>
      </w:r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2005-2007 m. </w:t>
      </w:r>
      <w:proofErr w:type="spellStart"/>
      <w:proofErr w:type="gramStart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duomenimis</w:t>
      </w:r>
      <w:proofErr w:type="spellEnd"/>
      <w:proofErr w:type="gramEnd"/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iš nuotekų valymo įrenginių </w:t>
      </w:r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tiesiogiai </w:t>
      </w:r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2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100-</w:t>
      </w:r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 kg/</w:t>
      </w:r>
      <w:proofErr w:type="spellStart"/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metus</w:t>
      </w:r>
      <w:proofErr w:type="spellEnd"/>
      <w:r w:rsidR="00AF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Gaisrų</w:t>
      </w:r>
      <w:proofErr w:type="spellEnd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gesinimo</w:t>
      </w:r>
      <w:proofErr w:type="spellEnd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putos</w:t>
      </w:r>
      <w:proofErr w:type="spellEnd"/>
      <w:r w:rsidR="009E6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jomis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užterštos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oro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uostų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karinės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teritorijos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vienas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svarbiausių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paviršinių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vandens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telkinių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taršos</w:t>
      </w:r>
      <w:proofErr w:type="spellEnd"/>
      <w:r w:rsid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perf</w:t>
      </w:r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luorintais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junginiais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šaltinis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PFOS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turinčių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gaisrų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gesinimo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putų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naudojimas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Europos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Sąjungoje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buvo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uždraustas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2011 </w:t>
      </w:r>
      <w:proofErr w:type="spellStart"/>
      <w:r w:rsidR="003A4E4D" w:rsidRP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metais</w:t>
      </w:r>
      <w:proofErr w:type="spellEnd"/>
      <w:r w:rsidR="00CA272B" w:rsidRPr="00DB0436">
        <w:rPr>
          <w:rFonts w:ascii="Times New Roman" w:eastAsia="SabonLTStd-Roman" w:hAnsi="Times New Roman" w:cs="Times New Roman"/>
          <w:sz w:val="24"/>
          <w:szCs w:val="24"/>
        </w:rPr>
        <w:t xml:space="preserve"> (</w:t>
      </w:r>
      <w:r w:rsidR="00DB0436" w:rsidRPr="00DB0436">
        <w:rPr>
          <w:rFonts w:ascii="Times New Roman" w:eastAsia="SabonLTStd-Roman" w:hAnsi="Times New Roman" w:cs="Times New Roman"/>
          <w:sz w:val="24"/>
          <w:szCs w:val="24"/>
        </w:rPr>
        <w:t>Direktyva 2006/122/EB</w:t>
      </w:r>
      <w:r w:rsidR="00CA272B" w:rsidRPr="00DB0436">
        <w:rPr>
          <w:rFonts w:ascii="Times New Roman" w:eastAsia="SabonLTStd-Roman" w:hAnsi="Times New Roman" w:cs="Times New Roman"/>
          <w:sz w:val="24"/>
          <w:szCs w:val="24"/>
        </w:rPr>
        <w:t>)</w:t>
      </w:r>
      <w:r w:rsidR="003A4E4D" w:rsidRPr="00DB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Paskai</w:t>
      </w:r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čiuota</w:t>
      </w:r>
      <w:proofErr w:type="spellEnd"/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kad iki to laiko vien tik iš Švedijos oro uostų teritorijų į Baltijos jūrą galėjo patekti </w:t>
      </w:r>
      <w:r w:rsidR="003A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1000-3500 kg PFOS</w:t>
      </w:r>
      <w:r w:rsidR="00CA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[3].</w:t>
      </w:r>
      <w:proofErr w:type="gramEnd"/>
    </w:p>
    <w:p w14:paraId="7826FBD4" w14:textId="733BBEB4" w:rsidR="00B578EB" w:rsidRDefault="00310333" w:rsidP="00B578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SabonLTStd-Roman" w:hAnsi="Times New Roman" w:cs="Times New Roman"/>
          <w:sz w:val="24"/>
          <w:szCs w:val="24"/>
        </w:rPr>
      </w:pPr>
      <w:proofErr w:type="spellStart"/>
      <w:r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B0436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fluorinti</w:t>
      </w:r>
      <w:proofErr w:type="spellEnd"/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junginiai aplinkoje 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nesuskyla </w:t>
      </w:r>
      <w:r w:rsidR="007F797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arba keičiasi į kitą </w:t>
      </w:r>
      <w:proofErr w:type="spellStart"/>
      <w:r w:rsidR="007F797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perfluorintą</w:t>
      </w:r>
      <w:proofErr w:type="spellEnd"/>
      <w:r w:rsidR="007F797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medžiagą, 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pate</w:t>
      </w:r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į </w:t>
      </w:r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gyvų organizmų ir 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žmogaus organizmą </w:t>
      </w:r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dalyvau</w:t>
      </w:r>
      <w:r w:rsidR="00DB0436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 mitybos grandinėje, sukelia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endokrininės sistemos sutrikim</w:t>
      </w:r>
      <w:r w:rsidR="00577012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</w:t>
      </w:r>
      <w:r w:rsidR="00DB121A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inkstų ir kepenų pažeidimus</w:t>
      </w:r>
      <w:r w:rsidR="001D08E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192C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5CD" w:rsidRPr="00B578EB">
        <w:rPr>
          <w:rFonts w:ascii="Times New Roman" w:hAnsi="Times New Roman" w:cs="Times New Roman"/>
          <w:sz w:val="24"/>
          <w:szCs w:val="24"/>
        </w:rPr>
        <w:t xml:space="preserve">Europos Sąjungoje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PFOS naudojimas pramonėje uždraustas</w:t>
      </w:r>
      <w:r w:rsidR="009E65CD" w:rsidRPr="00B578EB">
        <w:rPr>
          <w:rFonts w:ascii="Times New Roman" w:hAnsi="Times New Roman" w:cs="Times New Roman"/>
          <w:sz w:val="24"/>
          <w:szCs w:val="24"/>
        </w:rPr>
        <w:t xml:space="preserve"> pagal REACH </w:t>
      </w:r>
      <w:r w:rsidR="00DB0436" w:rsidRPr="00B578EB">
        <w:rPr>
          <w:rFonts w:ascii="Times New Roman" w:hAnsi="Times New Roman" w:cs="Times New Roman"/>
          <w:sz w:val="24"/>
          <w:szCs w:val="24"/>
        </w:rPr>
        <w:t xml:space="preserve">reglamentą </w:t>
      </w:r>
      <w:r w:rsidR="009E65CD" w:rsidRPr="00B578EB">
        <w:rPr>
          <w:rFonts w:ascii="Times New Roman" w:hAnsi="Times New Roman" w:cs="Times New Roman"/>
          <w:sz w:val="24"/>
          <w:szCs w:val="24"/>
        </w:rPr>
        <w:t>(</w:t>
      </w:r>
      <w:r w:rsidR="00B578EB">
        <w:rPr>
          <w:rFonts w:ascii="Times New Roman" w:hAnsi="Times New Roman" w:cs="Times New Roman"/>
          <w:sz w:val="24"/>
          <w:szCs w:val="24"/>
        </w:rPr>
        <w:t xml:space="preserve">Nr. </w:t>
      </w:r>
      <w:r w:rsidR="009E65CD" w:rsidRPr="00B578EB">
        <w:rPr>
          <w:rFonts w:ascii="Times New Roman" w:hAnsi="Times New Roman" w:cs="Times New Roman"/>
          <w:sz w:val="24"/>
          <w:szCs w:val="24"/>
        </w:rPr>
        <w:t xml:space="preserve">1907/2006),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PFOS įtraukus į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2009 m.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Stokholmo konvencijos </w:t>
      </w:r>
      <w:r w:rsidR="009E65CD" w:rsidRPr="00B578EB">
        <w:rPr>
          <w:rFonts w:ascii="Times New Roman" w:hAnsi="Times New Roman" w:cs="Times New Roman"/>
          <w:sz w:val="24"/>
          <w:szCs w:val="24"/>
        </w:rPr>
        <w:t>(</w:t>
      </w:r>
      <w:r w:rsidR="00DB0436" w:rsidRPr="00B578EB">
        <w:rPr>
          <w:rFonts w:ascii="Times New Roman" w:hAnsi="Times New Roman" w:cs="Times New Roman"/>
          <w:sz w:val="24"/>
          <w:szCs w:val="24"/>
        </w:rPr>
        <w:t>Nr.</w:t>
      </w:r>
      <w:r w:rsidR="009E65CD" w:rsidRPr="00B578EB">
        <w:rPr>
          <w:rFonts w:ascii="Times New Roman" w:hAnsi="Times New Roman" w:cs="Times New Roman"/>
          <w:sz w:val="24"/>
          <w:szCs w:val="24"/>
        </w:rPr>
        <w:t xml:space="preserve"> 850/2004)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priedą.</w:t>
      </w:r>
      <w:r w:rsidR="009E65CD" w:rsidRPr="00B578EB">
        <w:rPr>
          <w:rFonts w:ascii="Times New Roman" w:hAnsi="Times New Roman" w:cs="Times New Roman"/>
          <w:sz w:val="24"/>
          <w:szCs w:val="24"/>
        </w:rPr>
        <w:t xml:space="preserve">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PFOA ir junginiai, kurie virsta į PFOA, su tam tikromis išimtimis buvo įtraukti į Stokholmo konvencijos A priedą; PFOA importas ir gamyba Europos Sąjungoje uždrausti nuo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2020 m. </w:t>
      </w:r>
      <w:proofErr w:type="spellStart"/>
      <w:proofErr w:type="gramStart"/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pagal</w:t>
      </w:r>
      <w:proofErr w:type="spellEnd"/>
      <w:proofErr w:type="gramEnd"/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REACH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8EB" w:rsidRPr="00B578EB">
        <w:rPr>
          <w:rFonts w:ascii="Times New Roman" w:hAnsi="Times New Roman" w:cs="Times New Roman"/>
          <w:sz w:val="24"/>
          <w:szCs w:val="24"/>
        </w:rPr>
        <w:t xml:space="preserve">reglamentą </w:t>
      </w:r>
      <w:r w:rsidR="009E65CD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(HELCOM). </w:t>
      </w:r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2000-2013 m. </w:t>
      </w:r>
      <w:proofErr w:type="spellStart"/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daugelis</w:t>
      </w:r>
      <w:proofErr w:type="spellEnd"/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gamintojų</w:t>
      </w:r>
      <w:proofErr w:type="spellEnd"/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JAV, </w:t>
      </w:r>
      <w:proofErr w:type="spellStart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Japonij</w:t>
      </w:r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oje</w:t>
      </w:r>
      <w:proofErr w:type="spellEnd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</w:t>
      </w:r>
      <w:proofErr w:type="spellEnd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Vakar</w:t>
      </w:r>
      <w:proofErr w:type="spellEnd"/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 Europo</w:t>
      </w:r>
      <w:r w:rsidR="00886E34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palaipsniui nutraukė PFOA ir junginių, kurie virsta į PFOA, gamybą, tačiau šis junginys toliau naudojamas Kinijoje</w:t>
      </w:r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</w:t>
      </w:r>
      <w:proofErr w:type="gramStart"/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,3</w:t>
      </w:r>
      <w:proofErr w:type="gramEnd"/>
      <w:r w:rsidR="007D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82125" w:rsidRPr="00B5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19F68D4" w14:textId="2118DA7D" w:rsidR="00B578EB" w:rsidRDefault="00F27236" w:rsidP="00B578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SabonLTStd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-BoldItalicMT" w:hAnsi="Times New Roman" w:cs="Times New Roman"/>
          <w:sz w:val="24"/>
          <w:szCs w:val="24"/>
        </w:rPr>
        <w:t>Perfluorintų</w:t>
      </w:r>
      <w:proofErr w:type="spellEnd"/>
      <w:r>
        <w:rPr>
          <w:rFonts w:ascii="Times New Roman" w:eastAsia="TimesNewRomanPS-BoldItalicMT" w:hAnsi="Times New Roman" w:cs="Times New Roman"/>
          <w:sz w:val="24"/>
          <w:szCs w:val="24"/>
        </w:rPr>
        <w:t xml:space="preserve"> junginių </w:t>
      </w:r>
      <w:r w:rsidR="00CF4DA1" w:rsidRPr="00577012">
        <w:rPr>
          <w:rFonts w:ascii="Times New Roman" w:eastAsia="TimesNewRomanPS-BoldItalicMT" w:hAnsi="Times New Roman" w:cs="Times New Roman"/>
          <w:sz w:val="24"/>
          <w:szCs w:val="24"/>
        </w:rPr>
        <w:t>tyrimai Kuršių marių ir Baltijos jūros aplinkoje</w:t>
      </w:r>
      <w:r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="00F573F2">
        <w:rPr>
          <w:rFonts w:ascii="Times New Roman" w:eastAsia="TimesNewRomanPS-BoldItalicMT" w:hAnsi="Times New Roman" w:cs="Times New Roman"/>
          <w:sz w:val="24"/>
          <w:szCs w:val="24"/>
        </w:rPr>
        <w:t xml:space="preserve">buvo vykdyti </w:t>
      </w:r>
      <w:r w:rsidR="00F573F2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2015, 2016 </w:t>
      </w:r>
      <w:proofErr w:type="spellStart"/>
      <w:r w:rsidR="00F573F2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ir</w:t>
      </w:r>
      <w:proofErr w:type="spellEnd"/>
      <w:r w:rsidR="00F573F2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="00F573F2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metais</w:t>
      </w:r>
      <w:proofErr w:type="spellEnd"/>
      <w:r w:rsidR="00F573F2">
        <w:rPr>
          <w:rFonts w:ascii="Times New Roman" w:eastAsia="TimesNewRomanPS-BoldItalicMT" w:hAnsi="Times New Roman" w:cs="Times New Roman"/>
          <w:sz w:val="24"/>
          <w:szCs w:val="24"/>
        </w:rPr>
        <w:t xml:space="preserve"> įgyvendinant valstybinio aplinkos monitoringo programą, paviršiniuose vandens telkiniuose </w:t>
      </w:r>
      <w:r>
        <w:rPr>
          <w:rFonts w:ascii="Times New Roman" w:eastAsia="TimesNewRomanPS-BoldItalicMT" w:hAnsi="Times New Roman" w:cs="Times New Roman"/>
          <w:sz w:val="24"/>
          <w:szCs w:val="24"/>
        </w:rPr>
        <w:t>bei taršos šaltiniuose</w:t>
      </w:r>
      <w:r w:rsidR="00CF4DA1" w:rsidRPr="00577012">
        <w:rPr>
          <w:rFonts w:ascii="Times New Roman" w:eastAsia="TimesNewRomanPS-BoldItalicMT" w:hAnsi="Times New Roman" w:cs="Times New Roman"/>
          <w:sz w:val="24"/>
          <w:szCs w:val="24"/>
        </w:rPr>
        <w:t xml:space="preserve"> vykdyti </w:t>
      </w:r>
      <w:r w:rsidR="00F573F2">
        <w:rPr>
          <w:rFonts w:ascii="Times New Roman" w:eastAsia="TimesNewRomanPS-BoldItalicMT" w:hAnsi="Times New Roman" w:cs="Times New Roman"/>
          <w:sz w:val="24"/>
          <w:szCs w:val="24"/>
        </w:rPr>
        <w:t xml:space="preserve">ir įvairių projektų metu </w:t>
      </w:r>
      <w:r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2008</w:t>
      </w:r>
      <w:r w:rsidR="008D4074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/2009</w:t>
      </w:r>
      <w:r w:rsidR="00F573F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m., 2011</w:t>
      </w:r>
      <w:r w:rsid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, 2012, 2015</w:t>
      </w:r>
      <w:r w:rsidR="00F573F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m</w:t>
      </w:r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[4</w:t>
      </w:r>
      <w:proofErr w:type="gramStart"/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,5,6,7</w:t>
      </w:r>
      <w:proofErr w:type="gramEnd"/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]</w:t>
      </w:r>
      <w:r w:rsidR="00CF4DA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. </w:t>
      </w:r>
    </w:p>
    <w:p w14:paraId="20746518" w14:textId="2289ED09" w:rsidR="007427F1" w:rsidRPr="00B578EB" w:rsidRDefault="00CF4DA1" w:rsidP="00B578E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SabonLTStd-Roman" w:hAnsi="Times New Roman" w:cs="Times New Roman"/>
          <w:sz w:val="24"/>
          <w:szCs w:val="24"/>
        </w:rPr>
      </w:pPr>
      <w:proofErr w:type="gram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2015-2016 </w:t>
      </w:r>
      <w:proofErr w:type="spell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metais</w:t>
      </w:r>
      <w:proofErr w:type="spellEnd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PFOS </w:t>
      </w:r>
      <w:proofErr w:type="spell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ir</w:t>
      </w:r>
      <w:proofErr w:type="spellEnd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PFOA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vandenyje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aptikta</w:t>
      </w:r>
      <w:proofErr w:type="spellEnd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visose</w:t>
      </w:r>
      <w:proofErr w:type="spellEnd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tyrim</w:t>
      </w:r>
      <w:proofErr w:type="spellEnd"/>
      <w:r w:rsidRPr="00577012">
        <w:rPr>
          <w:rFonts w:ascii="Times New Roman" w:eastAsia="TimesNewRomanPS-BoldItalicMT" w:hAnsi="Times New Roman" w:cs="Times New Roman"/>
          <w:sz w:val="24"/>
          <w:szCs w:val="24"/>
        </w:rPr>
        <w:t>ų vietose</w:t>
      </w:r>
      <w:r w:rsidR="001D08E5" w:rsidRPr="00577012">
        <w:rPr>
          <w:rFonts w:ascii="Times New Roman" w:eastAsia="TimesNewRomanPS-BoldItalicMT" w:hAnsi="Times New Roman" w:cs="Times New Roman"/>
          <w:sz w:val="24"/>
          <w:szCs w:val="24"/>
        </w:rPr>
        <w:t>.</w:t>
      </w:r>
      <w:proofErr w:type="gramEnd"/>
      <w:r w:rsidR="005D54DB" w:rsidRPr="00577012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Didžiausia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lei</w:t>
      </w:r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d</w:t>
      </w:r>
      <w:r w:rsidR="007D0DDC">
        <w:rPr>
          <w:rFonts w:ascii="Times New Roman" w:eastAsia="TimesNewRomanPS-BoldItalicMT" w:hAnsi="Times New Roman" w:cs="Times New Roman"/>
          <w:sz w:val="24"/>
          <w:szCs w:val="24"/>
        </w:rPr>
        <w:t>žiama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momentinė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koncentracija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(DLK-AKS </w:t>
      </w:r>
      <w:r w:rsidR="005D54DB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7</w:t>
      </w:r>
      <w:proofErr w:type="gramStart"/>
      <w:r w:rsidR="005D54DB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,2</w:t>
      </w:r>
      <w:proofErr w:type="gramEnd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µg/l</w:t>
      </w:r>
      <w:r w:rsidR="005D54DB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vandenyje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viršyta</w:t>
      </w:r>
      <w:proofErr w:type="spellEnd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8E5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nebuvo</w:t>
      </w:r>
      <w:proofErr w:type="spellEnd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tačiau</w:t>
      </w:r>
      <w:proofErr w:type="spellEnd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visose</w:t>
      </w:r>
      <w:proofErr w:type="spellEnd"/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tyrim</w:t>
      </w:r>
      <w:proofErr w:type="spellEnd"/>
      <w:r w:rsidR="00F928C6" w:rsidRPr="00577012">
        <w:rPr>
          <w:rFonts w:ascii="Times New Roman" w:eastAsia="TimesNewRomanPS-BoldItalicMT" w:hAnsi="Times New Roman" w:cs="Times New Roman"/>
          <w:sz w:val="24"/>
          <w:szCs w:val="24"/>
        </w:rPr>
        <w:t>ų</w:t>
      </w:r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vietose</w:t>
      </w:r>
      <w:proofErr w:type="spellEnd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="00B31321" w:rsidRPr="00577012">
        <w:rPr>
          <w:rFonts w:ascii="Times New Roman" w:eastAsia="TimesNewRomanPS-BoldItalicMT" w:hAnsi="Times New Roman" w:cs="Times New Roman"/>
          <w:sz w:val="24"/>
          <w:szCs w:val="24"/>
        </w:rPr>
        <w:t>viršytas vidutinis metinis aplinkos kokybės standartas (MV-AKS 0,000</w:t>
      </w:r>
      <w:r w:rsidR="00F928C6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13</w:t>
      </w:r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µg/l)</w:t>
      </w:r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, 1 </w:t>
      </w:r>
      <w:proofErr w:type="spellStart"/>
      <w:r w:rsidR="007D0DDC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pav</w:t>
      </w:r>
      <w:proofErr w:type="spellEnd"/>
      <w:r w:rsidR="00B31321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.</w:t>
      </w:r>
      <w:r w:rsidR="005D54DB" w:rsidRPr="00577012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="00545F80" w:rsidRPr="00577012">
        <w:rPr>
          <w:rFonts w:ascii="Times New Roman" w:eastAsia="TimesNewRomanPS-BoldItalicMT" w:hAnsi="Times New Roman" w:cs="Times New Roman"/>
          <w:sz w:val="24"/>
          <w:szCs w:val="24"/>
        </w:rPr>
        <w:t>201</w:t>
      </w:r>
      <w:r w:rsidR="00F22822" w:rsidRPr="00577012">
        <w:rPr>
          <w:rFonts w:ascii="Times New Roman" w:eastAsia="TimesNewRomanPS-BoldItalicMT" w:hAnsi="Times New Roman" w:cs="Times New Roman"/>
          <w:sz w:val="24"/>
          <w:szCs w:val="24"/>
        </w:rPr>
        <w:t>8</w:t>
      </w:r>
      <w:r w:rsidR="00545F80" w:rsidRPr="00577012">
        <w:rPr>
          <w:rFonts w:ascii="Times New Roman" w:eastAsia="TimesNewRomanPS-BoldItalicMT" w:hAnsi="Times New Roman" w:cs="Times New Roman"/>
          <w:sz w:val="24"/>
          <w:szCs w:val="24"/>
        </w:rPr>
        <w:t xml:space="preserve"> m. </w:t>
      </w:r>
      <w:r w:rsidR="00F22822" w:rsidRPr="00577012">
        <w:rPr>
          <w:rFonts w:ascii="Times New Roman" w:eastAsia="TimesNewRomanPS-BoldItalicMT" w:hAnsi="Times New Roman" w:cs="Times New Roman"/>
          <w:sz w:val="24"/>
          <w:szCs w:val="24"/>
        </w:rPr>
        <w:t>PFOS Kuršių marių ir Baltijos jūros vandenyje nebuvo aptikta</w:t>
      </w:r>
      <w:r w:rsidR="00F573F2">
        <w:rPr>
          <w:rFonts w:ascii="Times New Roman" w:eastAsia="TimesNewRomanPS-BoldItalicMT" w:hAnsi="Times New Roman" w:cs="Times New Roman"/>
          <w:sz w:val="24"/>
          <w:szCs w:val="24"/>
        </w:rPr>
        <w:t>.</w:t>
      </w:r>
      <w:r w:rsidR="00C704BC" w:rsidRPr="00577012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Helsinkio komisijos </w:t>
      </w:r>
      <w:r w:rsidR="007D0DDC">
        <w:rPr>
          <w:rFonts w:ascii="Times New Roman" w:hAnsi="Times New Roman" w:cs="Times New Roman"/>
          <w:sz w:val="24"/>
          <w:szCs w:val="24"/>
        </w:rPr>
        <w:t>[2]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 atliktame vertinime, </w:t>
      </w:r>
      <w:r w:rsidR="00995237">
        <w:rPr>
          <w:rFonts w:ascii="Times New Roman" w:hAnsi="Times New Roman" w:cs="Times New Roman"/>
          <w:sz w:val="24"/>
          <w:szCs w:val="24"/>
        </w:rPr>
        <w:t>pietrytinė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 Baltijos jūr</w:t>
      </w:r>
      <w:r w:rsidR="00995237">
        <w:rPr>
          <w:rFonts w:ascii="Times New Roman" w:hAnsi="Times New Roman" w:cs="Times New Roman"/>
          <w:sz w:val="24"/>
          <w:szCs w:val="24"/>
        </w:rPr>
        <w:t>os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 </w:t>
      </w:r>
      <w:r w:rsidR="00995237">
        <w:rPr>
          <w:rFonts w:ascii="Times New Roman" w:hAnsi="Times New Roman" w:cs="Times New Roman"/>
          <w:sz w:val="24"/>
          <w:szCs w:val="24"/>
        </w:rPr>
        <w:t>dalis</w:t>
      </w:r>
      <w:r w:rsidR="001627C8">
        <w:rPr>
          <w:rFonts w:ascii="Times New Roman" w:hAnsi="Times New Roman" w:cs="Times New Roman"/>
          <w:sz w:val="24"/>
          <w:szCs w:val="24"/>
        </w:rPr>
        <w:t xml:space="preserve"> </w:t>
      </w:r>
      <w:r w:rsidR="001627C8">
        <w:rPr>
          <w:rFonts w:ascii="Times New Roman" w:hAnsi="Times New Roman" w:cs="Times New Roman"/>
          <w:sz w:val="24"/>
          <w:szCs w:val="24"/>
          <w:lang w:val="en-US"/>
        </w:rPr>
        <w:t xml:space="preserve">2011-2016 m. </w:t>
      </w:r>
      <w:proofErr w:type="spellStart"/>
      <w:proofErr w:type="gramStart"/>
      <w:r w:rsidR="001627C8">
        <w:rPr>
          <w:rFonts w:ascii="Times New Roman" w:hAnsi="Times New Roman" w:cs="Times New Roman"/>
          <w:sz w:val="24"/>
          <w:szCs w:val="24"/>
          <w:lang w:val="en-US"/>
        </w:rPr>
        <w:t>laikotarpiu</w:t>
      </w:r>
      <w:proofErr w:type="spellEnd"/>
      <w:proofErr w:type="gramEnd"/>
      <w:r w:rsidR="00162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7C8">
        <w:rPr>
          <w:rFonts w:ascii="Times New Roman" w:hAnsi="Times New Roman" w:cs="Times New Roman"/>
          <w:sz w:val="24"/>
          <w:szCs w:val="24"/>
        </w:rPr>
        <w:t>nesiekė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 geros būklės dėl aukštų </w:t>
      </w:r>
      <w:r w:rsidR="00995237">
        <w:rPr>
          <w:rFonts w:ascii="Times New Roman" w:hAnsi="Times New Roman" w:cs="Times New Roman"/>
          <w:sz w:val="24"/>
          <w:szCs w:val="24"/>
        </w:rPr>
        <w:t>PFOS</w:t>
      </w:r>
      <w:r w:rsidR="00995237" w:rsidRPr="007567F9">
        <w:rPr>
          <w:rFonts w:ascii="Times New Roman" w:hAnsi="Times New Roman" w:cs="Times New Roman"/>
          <w:sz w:val="24"/>
          <w:szCs w:val="24"/>
        </w:rPr>
        <w:t xml:space="preserve"> koncentracijų</w:t>
      </w:r>
      <w:r w:rsidR="00995237">
        <w:rPr>
          <w:rFonts w:ascii="Times New Roman" w:hAnsi="Times New Roman" w:cs="Times New Roman"/>
          <w:sz w:val="24"/>
          <w:szCs w:val="24"/>
        </w:rPr>
        <w:t xml:space="preserve"> vandenyje</w:t>
      </w:r>
      <w:r w:rsidR="00995237" w:rsidRPr="007567F9">
        <w:rPr>
          <w:rFonts w:ascii="Times New Roman" w:hAnsi="Times New Roman" w:cs="Times New Roman"/>
          <w:sz w:val="24"/>
          <w:szCs w:val="24"/>
        </w:rPr>
        <w:t>.</w:t>
      </w:r>
      <w:r w:rsidR="00995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0C42" w14:textId="57350456" w:rsidR="007427F1" w:rsidRDefault="00F928C6" w:rsidP="00F92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474C4742" wp14:editId="72031C81">
            <wp:extent cx="3063923" cy="2154900"/>
            <wp:effectExtent l="0" t="0" r="317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68" cy="215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510E3" w14:textId="68E8AB56" w:rsidR="005176C9" w:rsidRPr="004637BF" w:rsidRDefault="005176C9" w:rsidP="005176C9">
      <w:pPr>
        <w:jc w:val="center"/>
        <w:rPr>
          <w:rFonts w:ascii="Times New Roman" w:eastAsia="TimesNewRomanPS-BoldItalicMT" w:hAnsi="Times New Roman"/>
          <w:lang w:val="en-US"/>
        </w:rPr>
      </w:pPr>
      <w:proofErr w:type="gramStart"/>
      <w:r>
        <w:rPr>
          <w:rFonts w:ascii="Times New Roman" w:eastAsia="TimesNewRomanPS-BoldItalicMT" w:hAnsi="Times New Roman"/>
          <w:b/>
          <w:lang w:val="en-US"/>
        </w:rPr>
        <w:t xml:space="preserve">1 </w:t>
      </w:r>
      <w:proofErr w:type="spellStart"/>
      <w:r>
        <w:rPr>
          <w:rFonts w:ascii="Times New Roman" w:eastAsia="TimesNewRomanPS-BoldItalicMT" w:hAnsi="Times New Roman"/>
          <w:b/>
          <w:lang w:val="en-US"/>
        </w:rPr>
        <w:t>pav</w:t>
      </w:r>
      <w:proofErr w:type="spellEnd"/>
      <w:r>
        <w:rPr>
          <w:rFonts w:ascii="Times New Roman" w:eastAsia="TimesNewRomanPS-BoldItalicMT" w:hAnsi="Times New Roman"/>
          <w:b/>
          <w:lang w:val="en-US"/>
        </w:rPr>
        <w:t>.</w:t>
      </w:r>
      <w:proofErr w:type="gramEnd"/>
      <w:r>
        <w:rPr>
          <w:rFonts w:ascii="Times New Roman" w:eastAsia="TimesNewRomanPS-BoldItalicMT" w:hAnsi="Times New Roman"/>
          <w:b/>
          <w:lang w:val="en-US"/>
        </w:rPr>
        <w:t xml:space="preserve"> </w:t>
      </w:r>
      <w:proofErr w:type="spellStart"/>
      <w:proofErr w:type="gramStart"/>
      <w:r w:rsidRPr="00B72F55">
        <w:rPr>
          <w:rFonts w:ascii="Times New Roman" w:eastAsia="TimesNewRomanPS-BoldItalicMT" w:hAnsi="Times New Roman"/>
          <w:lang w:val="en-US"/>
        </w:rPr>
        <w:t>Vidutin</w:t>
      </w:r>
      <w:proofErr w:type="spellEnd"/>
      <w:r w:rsidRPr="00B72F55">
        <w:rPr>
          <w:rFonts w:ascii="Times New Roman" w:eastAsia="TimesNewRomanPS-BoldItalicMT" w:hAnsi="Times New Roman"/>
        </w:rPr>
        <w:t xml:space="preserve">ė metinė </w:t>
      </w:r>
      <w:r>
        <w:rPr>
          <w:rFonts w:ascii="Times New Roman" w:eastAsia="TimesNewRomanPS-BoldItalicMT" w:hAnsi="Times New Roman"/>
        </w:rPr>
        <w:t>PFOS</w:t>
      </w:r>
      <w:r w:rsidRPr="00B72F55">
        <w:rPr>
          <w:rFonts w:ascii="Times New Roman" w:eastAsia="TimesNewRomanPS-BoldItalicMT" w:hAnsi="Times New Roman"/>
        </w:rPr>
        <w:t xml:space="preserve"> koncentracija Kuršių mari</w:t>
      </w:r>
      <w:r>
        <w:rPr>
          <w:rFonts w:ascii="Times New Roman" w:eastAsia="TimesNewRomanPS-BoldItalicMT" w:hAnsi="Times New Roman"/>
        </w:rPr>
        <w:t xml:space="preserve">ose (stotys K2, K3B, K3DT, K5, K10, K14) ir Baltijos jūroje (stotys </w:t>
      </w:r>
      <w:r>
        <w:rPr>
          <w:rFonts w:ascii="Times New Roman" w:eastAsia="TimesNewRomanPS-BoldItalicMT" w:hAnsi="Times New Roman"/>
          <w:lang w:val="en-US"/>
        </w:rPr>
        <w:t>2, 4, 7, 20, 64, 1B, B-1, N-6, S-3)</w:t>
      </w:r>
      <w:r w:rsidR="008F752D">
        <w:rPr>
          <w:rFonts w:ascii="Times New Roman" w:eastAsia="TimesNewRomanPS-BoldItalicMT" w:hAnsi="Times New Roman"/>
          <w:lang w:val="en-US"/>
        </w:rPr>
        <w:t xml:space="preserve"> 2015-2016 m</w:t>
      </w:r>
      <w:r>
        <w:rPr>
          <w:rFonts w:ascii="Times New Roman" w:eastAsia="TimesNewRomanPS-BoldItalicMT" w:hAnsi="Times New Roman"/>
          <w:lang w:val="en-US"/>
        </w:rPr>
        <w:t>.</w:t>
      </w:r>
      <w:proofErr w:type="gramEnd"/>
    </w:p>
    <w:p w14:paraId="2859490A" w14:textId="4C04CE67" w:rsidR="00175EEA" w:rsidRPr="00B578EB" w:rsidRDefault="00995237" w:rsidP="00B57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Dugno nuosėdose 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2015 m.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</w:rPr>
        <w:t>perfluorintų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junginių nebuvo aptikta. 2015 metais gyvuosiuose organizmuose PFOS koncentracija AKS (9,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1 µg/kg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drėgno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svorio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) </w:t>
      </w:r>
      <w:r w:rsidR="00F573F2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neviršijo, tačiau </w:t>
      </w:r>
      <w:r w:rsidRPr="00B578EB">
        <w:rPr>
          <w:rFonts w:ascii="Times New Roman" w:eastAsia="TimesNewRomanPS-BoldItalicMT" w:hAnsi="Times New Roman" w:cs="Times New Roman"/>
          <w:sz w:val="24"/>
          <w:szCs w:val="24"/>
        </w:rPr>
        <w:t>mažesnėmis koncentracijomis buvo aptiktas Baltijos jūroje: strimelėje (0,18-1,68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menk</w:t>
      </w:r>
      <w:r w:rsidRPr="00B578EB">
        <w:rPr>
          <w:rFonts w:ascii="Times New Roman" w:eastAsia="TimesNewRomanPS-BoldItalicMT" w:hAnsi="Times New Roman" w:cs="Times New Roman"/>
          <w:sz w:val="24"/>
          <w:szCs w:val="24"/>
        </w:rPr>
        <w:t>ėje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(0,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20-0,94),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plek</w:t>
      </w:r>
      <w:r w:rsidRPr="00B578EB">
        <w:rPr>
          <w:rFonts w:ascii="Times New Roman" w:eastAsia="TimesNewRomanPS-BoldItalicMT" w:hAnsi="Times New Roman" w:cs="Times New Roman"/>
          <w:sz w:val="24"/>
          <w:szCs w:val="24"/>
        </w:rPr>
        <w:t>šnėje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(0,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34-1,12), Kur</w:t>
      </w:r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šių mariose: ešeryje (0,099 </w:t>
      </w:r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µg/kg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drėgno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svorio</w:t>
      </w:r>
      <w:proofErr w:type="spellEnd"/>
      <w:r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). </w:t>
      </w:r>
      <w:proofErr w:type="gramStart"/>
      <w:r w:rsidR="00F573F2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2008 m.</w:t>
      </w:r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j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</w:rPr>
        <w:t>ūrinėje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aplinkoje 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buvo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tirta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perfluorintų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junginių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.</w:t>
      </w:r>
      <w:proofErr w:type="gramEnd"/>
      <w:r w:rsidR="00F573F2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Tuomet</w:t>
      </w:r>
      <w:proofErr w:type="spellEnd"/>
      <w:r w:rsidR="00175EEA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PFOS koncentracija plekšnė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strimelės kepenyse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kito 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proofErr w:type="gram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,9</w:t>
      </w:r>
      <w:proofErr w:type="gram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µg</w:t>
      </w:r>
      <w:proofErr w:type="spellEnd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/kg drėgno svorio 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6,5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µg</w:t>
      </w:r>
      <w:proofErr w:type="spellEnd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/kg drėgno svorio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atitinkamai</w:t>
      </w:r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virš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ijant </w:t>
      </w:r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AKS </w:t>
      </w:r>
      <w:proofErr w:type="spellStart"/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biotai</w:t>
      </w:r>
      <w:proofErr w:type="spellEnd"/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(9,1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µg</w:t>
      </w:r>
      <w:proofErr w:type="spellEnd"/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/kg drėgno svorio</w:t>
      </w:r>
      <w:r w:rsidR="00F573F2" w:rsidRPr="003448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F573F2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E28BC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2011</w:t>
      </w:r>
      <w:r w:rsidR="00B578EB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EE28BC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2012 </w:t>
      </w:r>
      <w:r w:rsidR="00B578EB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2015 </w:t>
      </w:r>
      <w:r w:rsidR="00EE28BC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m. </w:t>
      </w:r>
      <w:r w:rsidR="00B578EB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vykdyti tyrimai,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siekiant</w:t>
      </w:r>
      <w:proofErr w:type="spell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išsiaiškinti</w:t>
      </w:r>
      <w:proofErr w:type="spell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taršos</w:t>
      </w:r>
      <w:proofErr w:type="spell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perfluorintais</w:t>
      </w:r>
      <w:proofErr w:type="spell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junginiais</w:t>
      </w:r>
      <w:proofErr w:type="spellEnd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šaltinius</w:t>
      </w:r>
      <w:proofErr w:type="spellEnd"/>
      <w:r w:rsidR="00B578EB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.</w:t>
      </w:r>
      <w:r w:rsidR="00175EE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38354A" w:rsidRPr="00B578EB">
        <w:rPr>
          <w:rFonts w:ascii="Times New Roman" w:hAnsi="Times New Roman" w:cs="Times New Roman"/>
          <w:sz w:val="24"/>
          <w:szCs w:val="24"/>
        </w:rPr>
        <w:t xml:space="preserve">Tyrimų rezultatai parodė platų </w:t>
      </w:r>
      <w:proofErr w:type="spellStart"/>
      <w:r w:rsidR="0038354A" w:rsidRPr="00B578EB">
        <w:rPr>
          <w:rFonts w:ascii="Times New Roman" w:hAnsi="Times New Roman" w:cs="Times New Roman"/>
          <w:sz w:val="24"/>
          <w:szCs w:val="24"/>
        </w:rPr>
        <w:t>perfluorintų</w:t>
      </w:r>
      <w:proofErr w:type="spellEnd"/>
      <w:r w:rsidR="0038354A" w:rsidRPr="00B578EB">
        <w:rPr>
          <w:rFonts w:ascii="Times New Roman" w:hAnsi="Times New Roman" w:cs="Times New Roman"/>
          <w:sz w:val="24"/>
          <w:szCs w:val="24"/>
        </w:rPr>
        <w:t xml:space="preserve"> junginių paplitimą: jų</w:t>
      </w:r>
      <w:r w:rsidR="00175EEA" w:rsidRPr="00B578EB">
        <w:rPr>
          <w:rFonts w:ascii="Times New Roman" w:hAnsi="Times New Roman" w:cs="Times New Roman"/>
          <w:sz w:val="24"/>
          <w:szCs w:val="24"/>
        </w:rPr>
        <w:t xml:space="preserve">  </w:t>
      </w:r>
      <w:r w:rsidR="0038354A" w:rsidRPr="00B578EB">
        <w:rPr>
          <w:rFonts w:ascii="Times New Roman" w:hAnsi="Times New Roman" w:cs="Times New Roman"/>
          <w:sz w:val="24"/>
          <w:szCs w:val="24"/>
        </w:rPr>
        <w:t>rasta gamybinėse, buitinėse, paviršinėse lietaus nuotekose (odą apdirbančių, plastiką gaminančių ir perdirbančių, skalbyklų nuotekose, puslaidininkius gaminančių įmonių, automobilių utilizavimo įmonių paviršinių nuotekų mėginiuose), nuotekų dumble, sąvartyne ir filtrate</w:t>
      </w:r>
      <w:r w:rsidR="0038354A" w:rsidRPr="00B578EB">
        <w:rPr>
          <w:rFonts w:ascii="Times New Roman" w:eastAsia="TimesNewRomanPS-BoldItalicMT" w:hAnsi="Times New Roman" w:cs="Times New Roman"/>
          <w:sz w:val="24"/>
          <w:szCs w:val="24"/>
        </w:rPr>
        <w:t>, upių vandenyje</w:t>
      </w:r>
      <w:r w:rsidR="007D0DDC">
        <w:rPr>
          <w:rFonts w:ascii="Times New Roman" w:eastAsia="TimesNewRomanPS-BoldItalicMT" w:hAnsi="Times New Roman" w:cs="Times New Roman"/>
          <w:sz w:val="24"/>
          <w:szCs w:val="24"/>
        </w:rPr>
        <w:t xml:space="preserve"> [4,5,6,7]</w:t>
      </w:r>
      <w:r w:rsidR="0038354A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. </w:t>
      </w:r>
      <w:r w:rsidR="00175EEA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</w:p>
    <w:p w14:paraId="7CB9EBBD" w14:textId="242486D4" w:rsidR="007427F1" w:rsidRPr="00B578EB" w:rsidRDefault="00175EEA" w:rsidP="00995237">
      <w:pPr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sz w:val="24"/>
          <w:szCs w:val="24"/>
          <w:lang w:val="en-US"/>
        </w:rPr>
      </w:pPr>
      <w:r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38354A" w:rsidRPr="00B578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="00995237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Tolimesni PFOS tyrimai Kuršių marių ir Baltijos jūros vandenyje, dugno nuosėdose ir </w:t>
      </w:r>
      <w:proofErr w:type="spellStart"/>
      <w:r w:rsidR="00995237" w:rsidRPr="00B578EB">
        <w:rPr>
          <w:rFonts w:ascii="Times New Roman" w:eastAsia="TimesNewRomanPS-BoldItalicMT" w:hAnsi="Times New Roman" w:cs="Times New Roman"/>
          <w:sz w:val="24"/>
          <w:szCs w:val="24"/>
        </w:rPr>
        <w:t>biotoje</w:t>
      </w:r>
      <w:proofErr w:type="spellEnd"/>
      <w:r w:rsidR="00995237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numatyti </w:t>
      </w:r>
      <w:r w:rsidR="00995237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2021-2023 </w:t>
      </w:r>
      <w:proofErr w:type="spellStart"/>
      <w:r w:rsidR="00995237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metais</w:t>
      </w:r>
      <w:proofErr w:type="spellEnd"/>
      <w:r w:rsidR="00995237" w:rsidRPr="00B578EB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. </w:t>
      </w:r>
      <w:r w:rsidR="00995237" w:rsidRPr="00B578EB">
        <w:rPr>
          <w:rFonts w:ascii="Times New Roman" w:eastAsia="TimesNewRomanPS-BoldItalicMT" w:hAnsi="Times New Roman" w:cs="Times New Roman"/>
          <w:sz w:val="24"/>
          <w:szCs w:val="24"/>
        </w:rPr>
        <w:t xml:space="preserve">  </w:t>
      </w:r>
    </w:p>
    <w:p w14:paraId="2C8A312A" w14:textId="77777777" w:rsidR="00A77469" w:rsidRPr="00B578EB" w:rsidRDefault="00A77469" w:rsidP="009D6C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</w:p>
    <w:p w14:paraId="0219F429" w14:textId="65826644" w:rsidR="00362217" w:rsidRPr="007D0DDC" w:rsidRDefault="00B72F55" w:rsidP="00362217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7D0DDC">
        <w:rPr>
          <w:rFonts w:ascii="Times New Roman" w:eastAsia="Times New Roman" w:hAnsi="Times New Roman" w:cs="Times New Roman"/>
          <w:b/>
          <w:kern w:val="36"/>
          <w:lang w:eastAsia="lt-LT"/>
        </w:rPr>
        <w:t>Literatūra</w:t>
      </w:r>
      <w:r w:rsidR="00362217" w:rsidRPr="007D0DDC">
        <w:rPr>
          <w:rFonts w:ascii="Arial" w:hAnsi="Arial" w:cs="Arial"/>
          <w:b/>
          <w:bCs/>
        </w:rPr>
        <w:t></w:t>
      </w:r>
    </w:p>
    <w:p w14:paraId="2948B632" w14:textId="77777777" w:rsidR="00362217" w:rsidRPr="007D0DDC" w:rsidRDefault="00362217" w:rsidP="00362217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D0DDC">
        <w:rPr>
          <w:rFonts w:ascii="Times New Roman" w:hAnsi="Times New Roman" w:cs="Times New Roman"/>
          <w:bCs/>
        </w:rPr>
        <w:t xml:space="preserve">EEA, Ataskaita. </w:t>
      </w:r>
      <w:proofErr w:type="spellStart"/>
      <w:r w:rsidRPr="007D0DDC">
        <w:rPr>
          <w:rFonts w:ascii="Times New Roman" w:hAnsi="Times New Roman" w:cs="Times New Roman"/>
          <w:bCs/>
        </w:rPr>
        <w:t>Emerging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chemical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risks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in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Europe</w:t>
      </w:r>
      <w:proofErr w:type="spellEnd"/>
      <w:r w:rsidRPr="007D0DDC">
        <w:rPr>
          <w:rFonts w:ascii="Times New Roman" w:hAnsi="Times New Roman" w:cs="Times New Roman"/>
          <w:bCs/>
        </w:rPr>
        <w:t xml:space="preserve"> – PFAS.</w:t>
      </w:r>
    </w:p>
    <w:p w14:paraId="53E14431" w14:textId="7AE95807" w:rsidR="00B578EB" w:rsidRPr="007D0DDC" w:rsidRDefault="00362217" w:rsidP="00362217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D0DDC">
        <w:rPr>
          <w:rFonts w:ascii="Times New Roman" w:hAnsi="Times New Roman" w:cs="Times New Roman"/>
        </w:rPr>
        <w:t>HELCOM, 2018.</w:t>
      </w:r>
      <w:r w:rsidR="009F3825" w:rsidRPr="007D0DDC">
        <w:rPr>
          <w:rFonts w:ascii="Times New Roman" w:hAnsi="Times New Roman" w:cs="Times New Roman"/>
        </w:rPr>
        <w:t xml:space="preserve"> </w:t>
      </w:r>
      <w:proofErr w:type="spellStart"/>
      <w:r w:rsidR="009F3825" w:rsidRPr="007D0DDC">
        <w:rPr>
          <w:rFonts w:ascii="Times New Roman" w:hAnsi="Times New Roman" w:cs="Times New Roman"/>
        </w:rPr>
        <w:t>Perfluorooctane</w:t>
      </w:r>
      <w:proofErr w:type="spellEnd"/>
      <w:r w:rsidR="009F3825" w:rsidRPr="007D0DDC">
        <w:rPr>
          <w:rFonts w:ascii="Times New Roman" w:hAnsi="Times New Roman" w:cs="Times New Roman"/>
        </w:rPr>
        <w:t xml:space="preserve"> </w:t>
      </w:r>
      <w:proofErr w:type="spellStart"/>
      <w:r w:rsidR="009F3825" w:rsidRPr="007D0DDC">
        <w:rPr>
          <w:rFonts w:ascii="Times New Roman" w:hAnsi="Times New Roman" w:cs="Times New Roman"/>
        </w:rPr>
        <w:t>sulphonate</w:t>
      </w:r>
      <w:proofErr w:type="spellEnd"/>
      <w:r w:rsidR="009F3825" w:rsidRPr="007D0DDC">
        <w:rPr>
          <w:rFonts w:ascii="Times New Roman" w:hAnsi="Times New Roman" w:cs="Times New Roman"/>
        </w:rPr>
        <w:t xml:space="preserve"> (PFOS). HELCOM </w:t>
      </w:r>
      <w:proofErr w:type="spellStart"/>
      <w:r w:rsidR="009F3825" w:rsidRPr="007D0DDC">
        <w:rPr>
          <w:rFonts w:ascii="Times New Roman" w:hAnsi="Times New Roman" w:cs="Times New Roman"/>
        </w:rPr>
        <w:t>Core</w:t>
      </w:r>
      <w:proofErr w:type="spellEnd"/>
      <w:r w:rsidR="009F3825" w:rsidRPr="007D0DDC">
        <w:rPr>
          <w:rFonts w:ascii="Times New Roman" w:hAnsi="Times New Roman" w:cs="Times New Roman"/>
        </w:rPr>
        <w:t xml:space="preserve"> </w:t>
      </w:r>
      <w:proofErr w:type="spellStart"/>
      <w:r w:rsidR="009F3825" w:rsidRPr="007D0DDC">
        <w:rPr>
          <w:rFonts w:ascii="Times New Roman" w:hAnsi="Times New Roman" w:cs="Times New Roman"/>
        </w:rPr>
        <w:t>Indicator</w:t>
      </w:r>
      <w:proofErr w:type="spellEnd"/>
      <w:r w:rsidR="009F3825" w:rsidRPr="007D0DDC">
        <w:rPr>
          <w:rFonts w:ascii="Times New Roman" w:hAnsi="Times New Roman" w:cs="Times New Roman"/>
        </w:rPr>
        <w:t xml:space="preserve"> </w:t>
      </w:r>
      <w:proofErr w:type="spellStart"/>
      <w:r w:rsidR="009F3825" w:rsidRPr="007D0DDC">
        <w:rPr>
          <w:rFonts w:ascii="Times New Roman" w:hAnsi="Times New Roman" w:cs="Times New Roman"/>
        </w:rPr>
        <w:t>Report</w:t>
      </w:r>
      <w:proofErr w:type="spellEnd"/>
      <w:r w:rsidR="009F3825" w:rsidRPr="007D0DDC">
        <w:rPr>
          <w:rFonts w:ascii="Times New Roman" w:hAnsi="Times New Roman" w:cs="Times New Roman"/>
        </w:rPr>
        <w:t>.</w:t>
      </w:r>
    </w:p>
    <w:p w14:paraId="06B250A4" w14:textId="1B3322B2" w:rsidR="00362217" w:rsidRPr="007D0DDC" w:rsidRDefault="000F6F3B" w:rsidP="00362217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D0DDC">
        <w:rPr>
          <w:rFonts w:ascii="Times New Roman" w:hAnsi="Times New Roman" w:cs="Times New Roman"/>
          <w:bCs/>
        </w:rPr>
        <w:t xml:space="preserve">HELCOM, 2000. PFOS </w:t>
      </w:r>
      <w:proofErr w:type="spellStart"/>
      <w:r w:rsidRPr="007D0DDC">
        <w:rPr>
          <w:rFonts w:ascii="Times New Roman" w:hAnsi="Times New Roman" w:cs="Times New Roman"/>
          <w:bCs/>
        </w:rPr>
        <w:t>and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other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PFASs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in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the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Baltic</w:t>
      </w:r>
      <w:proofErr w:type="spellEnd"/>
      <w:r w:rsidRPr="007D0DDC">
        <w:rPr>
          <w:rFonts w:ascii="Times New Roman" w:hAnsi="Times New Roman" w:cs="Times New Roman"/>
          <w:bCs/>
        </w:rPr>
        <w:t xml:space="preserve"> </w:t>
      </w:r>
      <w:proofErr w:type="spellStart"/>
      <w:r w:rsidRPr="007D0DDC">
        <w:rPr>
          <w:rFonts w:ascii="Times New Roman" w:hAnsi="Times New Roman" w:cs="Times New Roman"/>
          <w:bCs/>
        </w:rPr>
        <w:t>Sea</w:t>
      </w:r>
      <w:proofErr w:type="spellEnd"/>
      <w:r w:rsidRPr="007D0DDC">
        <w:rPr>
          <w:rFonts w:ascii="Times New Roman" w:hAnsi="Times New Roman" w:cs="Times New Roman"/>
          <w:bCs/>
        </w:rPr>
        <w:t xml:space="preserve">. </w:t>
      </w:r>
    </w:p>
    <w:p w14:paraId="1D0DD80E" w14:textId="4C98EA9C" w:rsidR="00B578EB" w:rsidRPr="007D0DDC" w:rsidRDefault="000F6F3B" w:rsidP="000F6F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0DDC">
        <w:rPr>
          <w:rFonts w:ascii="Times New Roman" w:hAnsi="Times New Roman" w:cs="Times New Roman"/>
          <w:sz w:val="22"/>
          <w:szCs w:val="22"/>
        </w:rPr>
        <w:t xml:space="preserve">Projekto ataskaita.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Control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Hazardous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Substances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Region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Cohiba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(2009/2012).</w:t>
      </w:r>
    </w:p>
    <w:p w14:paraId="615A7D1C" w14:textId="216D4AE6" w:rsidR="0038354A" w:rsidRPr="007D0DDC" w:rsidRDefault="000F6F3B" w:rsidP="00B578E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0DDC">
        <w:rPr>
          <w:rFonts w:ascii="Times New Roman" w:hAnsi="Times New Roman" w:cs="Times New Roman"/>
          <w:sz w:val="22"/>
          <w:szCs w:val="22"/>
        </w:rPr>
        <w:t xml:space="preserve">Projekto ataskaita.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Actions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Reduction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Pollution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Sea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Priority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Hazardous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Substances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38354A" w:rsidRPr="007D0DDC">
        <w:rPr>
          <w:rFonts w:ascii="Times New Roman" w:hAnsi="Times New Roman" w:cs="Times New Roman"/>
          <w:sz w:val="22"/>
          <w:szCs w:val="22"/>
        </w:rPr>
        <w:t>BaltActHaz</w:t>
      </w:r>
      <w:proofErr w:type="spellEnd"/>
      <w:r w:rsidR="0038354A" w:rsidRPr="007D0DDC">
        <w:rPr>
          <w:rFonts w:ascii="Times New Roman" w:hAnsi="Times New Roman" w:cs="Times New Roman"/>
          <w:sz w:val="22"/>
          <w:szCs w:val="22"/>
        </w:rPr>
        <w:t xml:space="preserve"> (2009/2012).</w:t>
      </w:r>
    </w:p>
    <w:p w14:paraId="3DFAD347" w14:textId="667DF8AF" w:rsidR="007D0DDC" w:rsidRPr="007D0DDC" w:rsidRDefault="007D0DDC" w:rsidP="00B578E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0DDC">
        <w:rPr>
          <w:rFonts w:ascii="Times New Roman" w:hAnsi="Times New Roman" w:cs="Times New Roman"/>
          <w:sz w:val="22"/>
          <w:szCs w:val="22"/>
        </w:rPr>
        <w:t xml:space="preserve">Projekto ataskaita.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Screening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Selected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Hazardous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Substances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Eastern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Baltic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Marine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(2008/2009).</w:t>
      </w:r>
    </w:p>
    <w:p w14:paraId="61425D1F" w14:textId="705FD15D" w:rsidR="000F6F3B" w:rsidRPr="007D0DDC" w:rsidRDefault="000F6F3B" w:rsidP="00B578E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D0DDC">
        <w:rPr>
          <w:rFonts w:ascii="Times New Roman" w:eastAsia="Times New Roman" w:hAnsi="Times New Roman" w:cs="Times New Roman"/>
          <w:sz w:val="22"/>
          <w:szCs w:val="22"/>
          <w:lang w:val="en"/>
        </w:rPr>
        <w:t>Projekto</w:t>
      </w:r>
      <w:proofErr w:type="spellEnd"/>
      <w:r w:rsidRPr="007D0DDC">
        <w:rPr>
          <w:rFonts w:ascii="Times New Roman" w:eastAsia="Times New Roman" w:hAnsi="Times New Roman" w:cs="Times New Roman"/>
          <w:sz w:val="22"/>
          <w:szCs w:val="22"/>
          <w:lang w:val="en"/>
        </w:rPr>
        <w:t xml:space="preserve"> </w:t>
      </w:r>
      <w:proofErr w:type="spellStart"/>
      <w:r w:rsidRPr="007D0DDC">
        <w:rPr>
          <w:rFonts w:ascii="Times New Roman" w:eastAsia="Times New Roman" w:hAnsi="Times New Roman" w:cs="Times New Roman"/>
          <w:sz w:val="22"/>
          <w:szCs w:val="22"/>
          <w:lang w:val="en"/>
        </w:rPr>
        <w:t>rezultatai</w:t>
      </w:r>
      <w:proofErr w:type="spellEnd"/>
      <w:r w:rsidRPr="007D0DDC">
        <w:rPr>
          <w:rFonts w:ascii="Times New Roman" w:eastAsia="Times New Roman" w:hAnsi="Times New Roman" w:cs="Times New Roman"/>
          <w:sz w:val="22"/>
          <w:szCs w:val="22"/>
          <w:lang w:val="en"/>
        </w:rPr>
        <w:t>. Strengthening of marine and inland water management - Part I</w:t>
      </w:r>
      <w:r w:rsidRPr="007D0DD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Activity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Priority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Substances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Inventorization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monitoring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0DDC">
        <w:rPr>
          <w:rFonts w:ascii="Times New Roman" w:hAnsi="Times New Roman" w:cs="Times New Roman"/>
          <w:sz w:val="22"/>
          <w:szCs w:val="22"/>
        </w:rPr>
        <w:t>optimization</w:t>
      </w:r>
      <w:proofErr w:type="spellEnd"/>
      <w:r w:rsidRPr="007D0DDC">
        <w:rPr>
          <w:rFonts w:ascii="Times New Roman" w:hAnsi="Times New Roman" w:cs="Times New Roman"/>
          <w:sz w:val="22"/>
          <w:szCs w:val="22"/>
        </w:rPr>
        <w:t>) (2014/2017).</w:t>
      </w:r>
    </w:p>
    <w:p w14:paraId="285532B5" w14:textId="77777777" w:rsidR="0038354A" w:rsidRDefault="0038354A" w:rsidP="009D6C0B">
      <w:pPr>
        <w:pStyle w:val="Default"/>
        <w:ind w:left="720"/>
        <w:jc w:val="both"/>
        <w:rPr>
          <w:rFonts w:ascii="FSBrabo-Italic" w:hAnsi="FSBrabo-Italic" w:cs="FSBrabo-Italic"/>
          <w:iCs/>
          <w:sz w:val="22"/>
          <w:szCs w:val="22"/>
        </w:rPr>
      </w:pPr>
    </w:p>
    <w:p w14:paraId="7128B63A" w14:textId="77777777" w:rsidR="00CE6E89" w:rsidRPr="00CE6E89" w:rsidRDefault="00CE6E89" w:rsidP="00CE6E89">
      <w:pPr>
        <w:pStyle w:val="default0"/>
      </w:pPr>
      <w:r w:rsidRPr="00CE6E89">
        <w:rPr>
          <w:shd w:val="clear" w:color="auto" w:fill="FFFFFF"/>
        </w:rPr>
        <w:t>Parengė:</w:t>
      </w:r>
    </w:p>
    <w:p w14:paraId="41E3D411" w14:textId="77777777" w:rsidR="00CE6E89" w:rsidRPr="00CE6E89" w:rsidRDefault="00CE6E89" w:rsidP="00CE6E89">
      <w:pPr>
        <w:pStyle w:val="default0"/>
      </w:pPr>
      <w:r w:rsidRPr="00CE6E89">
        <w:rPr>
          <w:shd w:val="clear" w:color="auto" w:fill="FFFFFF"/>
        </w:rPr>
        <w:t>Aplinkos apsaugos agentūros Jūros aplinkos vertinimo skyrius</w:t>
      </w:r>
    </w:p>
    <w:p w14:paraId="59281133" w14:textId="40FF66D5" w:rsidR="00CE6E89" w:rsidRPr="00CE6E89" w:rsidRDefault="00CE6E89" w:rsidP="00CE6E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E8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202</w:t>
      </w:r>
      <w:r w:rsidR="009F382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1</w:t>
      </w:r>
      <w:r w:rsidR="009F382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-02-</w:t>
      </w:r>
      <w:r w:rsidR="007D0DDC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11</w:t>
      </w:r>
    </w:p>
    <w:sectPr w:rsidR="00CE6E89" w:rsidRPr="00CE6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Arabic Typesetting"/>
    <w:charset w:val="BA"/>
    <w:family w:val="script"/>
    <w:pitch w:val="default"/>
  </w:font>
  <w:font w:name="SabonLTStd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SBrab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71"/>
    <w:multiLevelType w:val="hybridMultilevel"/>
    <w:tmpl w:val="BDACDF0E"/>
    <w:lvl w:ilvl="0" w:tplc="01BC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C37B2"/>
    <w:multiLevelType w:val="hybridMultilevel"/>
    <w:tmpl w:val="F27E85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606A"/>
    <w:multiLevelType w:val="hybridMultilevel"/>
    <w:tmpl w:val="7574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127C1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828CF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2D66"/>
    <w:multiLevelType w:val="hybridMultilevel"/>
    <w:tmpl w:val="8140E8DC"/>
    <w:lvl w:ilvl="0" w:tplc="65841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02A9D"/>
    <w:rsid w:val="00002B11"/>
    <w:rsid w:val="000130A4"/>
    <w:rsid w:val="0001490C"/>
    <w:rsid w:val="00017DDC"/>
    <w:rsid w:val="00021323"/>
    <w:rsid w:val="000261FF"/>
    <w:rsid w:val="00031CF1"/>
    <w:rsid w:val="0003285B"/>
    <w:rsid w:val="00045463"/>
    <w:rsid w:val="0005786F"/>
    <w:rsid w:val="000653A9"/>
    <w:rsid w:val="0007691B"/>
    <w:rsid w:val="00084EAB"/>
    <w:rsid w:val="00092899"/>
    <w:rsid w:val="0009416E"/>
    <w:rsid w:val="00096581"/>
    <w:rsid w:val="000B37A9"/>
    <w:rsid w:val="000B6515"/>
    <w:rsid w:val="000C0742"/>
    <w:rsid w:val="000D4FA4"/>
    <w:rsid w:val="000F6F3B"/>
    <w:rsid w:val="00102118"/>
    <w:rsid w:val="00105EF0"/>
    <w:rsid w:val="00112389"/>
    <w:rsid w:val="00126EBD"/>
    <w:rsid w:val="0014488E"/>
    <w:rsid w:val="00152411"/>
    <w:rsid w:val="001532C1"/>
    <w:rsid w:val="001627C8"/>
    <w:rsid w:val="00175EEA"/>
    <w:rsid w:val="00193A9F"/>
    <w:rsid w:val="001B3A3D"/>
    <w:rsid w:val="001B66F6"/>
    <w:rsid w:val="001C6977"/>
    <w:rsid w:val="001D08E5"/>
    <w:rsid w:val="001E0551"/>
    <w:rsid w:val="001E32D8"/>
    <w:rsid w:val="002535D1"/>
    <w:rsid w:val="00284BC2"/>
    <w:rsid w:val="00286EB6"/>
    <w:rsid w:val="002A1C35"/>
    <w:rsid w:val="002C20D0"/>
    <w:rsid w:val="002C62E8"/>
    <w:rsid w:val="002C7C68"/>
    <w:rsid w:val="002D4680"/>
    <w:rsid w:val="002D7562"/>
    <w:rsid w:val="00310333"/>
    <w:rsid w:val="00343F9E"/>
    <w:rsid w:val="003448CF"/>
    <w:rsid w:val="00362217"/>
    <w:rsid w:val="00364870"/>
    <w:rsid w:val="0038354A"/>
    <w:rsid w:val="003A4E4D"/>
    <w:rsid w:val="003D0627"/>
    <w:rsid w:val="003D7873"/>
    <w:rsid w:val="003E43EB"/>
    <w:rsid w:val="003F1A64"/>
    <w:rsid w:val="003F7FCA"/>
    <w:rsid w:val="00400199"/>
    <w:rsid w:val="00405520"/>
    <w:rsid w:val="004057CD"/>
    <w:rsid w:val="00406F48"/>
    <w:rsid w:val="004145A5"/>
    <w:rsid w:val="00445F31"/>
    <w:rsid w:val="004637BF"/>
    <w:rsid w:val="004A5511"/>
    <w:rsid w:val="004A7A6F"/>
    <w:rsid w:val="004B5F68"/>
    <w:rsid w:val="004D765E"/>
    <w:rsid w:val="004E4CBF"/>
    <w:rsid w:val="004F1514"/>
    <w:rsid w:val="004F58AF"/>
    <w:rsid w:val="0050080A"/>
    <w:rsid w:val="00512CE2"/>
    <w:rsid w:val="0051345A"/>
    <w:rsid w:val="00514383"/>
    <w:rsid w:val="005159F8"/>
    <w:rsid w:val="005176C9"/>
    <w:rsid w:val="005235A0"/>
    <w:rsid w:val="00545F80"/>
    <w:rsid w:val="0055490C"/>
    <w:rsid w:val="005637EB"/>
    <w:rsid w:val="00567E22"/>
    <w:rsid w:val="00577012"/>
    <w:rsid w:val="00585757"/>
    <w:rsid w:val="00597088"/>
    <w:rsid w:val="00597BFA"/>
    <w:rsid w:val="005A667C"/>
    <w:rsid w:val="005B192C"/>
    <w:rsid w:val="005C7F34"/>
    <w:rsid w:val="005D3D1A"/>
    <w:rsid w:val="005D54DB"/>
    <w:rsid w:val="005D580D"/>
    <w:rsid w:val="00613F72"/>
    <w:rsid w:val="00631216"/>
    <w:rsid w:val="00646FB7"/>
    <w:rsid w:val="0065486F"/>
    <w:rsid w:val="006616B3"/>
    <w:rsid w:val="00671388"/>
    <w:rsid w:val="006B4D28"/>
    <w:rsid w:val="006C37CC"/>
    <w:rsid w:val="006E73D4"/>
    <w:rsid w:val="00707BFA"/>
    <w:rsid w:val="00720663"/>
    <w:rsid w:val="0074144C"/>
    <w:rsid w:val="007427F1"/>
    <w:rsid w:val="00747253"/>
    <w:rsid w:val="00750FCD"/>
    <w:rsid w:val="0076100B"/>
    <w:rsid w:val="00766017"/>
    <w:rsid w:val="00773101"/>
    <w:rsid w:val="00775596"/>
    <w:rsid w:val="007A02D1"/>
    <w:rsid w:val="007B5CCA"/>
    <w:rsid w:val="007C0971"/>
    <w:rsid w:val="007C2882"/>
    <w:rsid w:val="007D0DDC"/>
    <w:rsid w:val="007D1F3E"/>
    <w:rsid w:val="007E3996"/>
    <w:rsid w:val="007F797D"/>
    <w:rsid w:val="007F7D90"/>
    <w:rsid w:val="00800D4D"/>
    <w:rsid w:val="00802437"/>
    <w:rsid w:val="00812C0D"/>
    <w:rsid w:val="00830BED"/>
    <w:rsid w:val="008320DE"/>
    <w:rsid w:val="00837E4D"/>
    <w:rsid w:val="0084564C"/>
    <w:rsid w:val="008575B9"/>
    <w:rsid w:val="00857A9B"/>
    <w:rsid w:val="00870F57"/>
    <w:rsid w:val="00883B09"/>
    <w:rsid w:val="00886E34"/>
    <w:rsid w:val="008A1B70"/>
    <w:rsid w:val="008C0F16"/>
    <w:rsid w:val="008D4074"/>
    <w:rsid w:val="008E07FA"/>
    <w:rsid w:val="008E2C37"/>
    <w:rsid w:val="008E4E83"/>
    <w:rsid w:val="008F607E"/>
    <w:rsid w:val="008F752D"/>
    <w:rsid w:val="00903BB2"/>
    <w:rsid w:val="009119FE"/>
    <w:rsid w:val="00917383"/>
    <w:rsid w:val="00924929"/>
    <w:rsid w:val="009557A8"/>
    <w:rsid w:val="009562BC"/>
    <w:rsid w:val="00956D9A"/>
    <w:rsid w:val="009603A0"/>
    <w:rsid w:val="00971A07"/>
    <w:rsid w:val="009762C9"/>
    <w:rsid w:val="00980A94"/>
    <w:rsid w:val="00995237"/>
    <w:rsid w:val="009962B1"/>
    <w:rsid w:val="009B4B21"/>
    <w:rsid w:val="009B4F2C"/>
    <w:rsid w:val="009C1E75"/>
    <w:rsid w:val="009D6C0B"/>
    <w:rsid w:val="009E55FA"/>
    <w:rsid w:val="009E65CD"/>
    <w:rsid w:val="009F3825"/>
    <w:rsid w:val="009F5615"/>
    <w:rsid w:val="00A026DE"/>
    <w:rsid w:val="00A02AFD"/>
    <w:rsid w:val="00A04A7D"/>
    <w:rsid w:val="00A24AF6"/>
    <w:rsid w:val="00A31B64"/>
    <w:rsid w:val="00A401F6"/>
    <w:rsid w:val="00A45527"/>
    <w:rsid w:val="00A740F5"/>
    <w:rsid w:val="00A77469"/>
    <w:rsid w:val="00A7798F"/>
    <w:rsid w:val="00A8539C"/>
    <w:rsid w:val="00A9038A"/>
    <w:rsid w:val="00A93FEE"/>
    <w:rsid w:val="00AB783D"/>
    <w:rsid w:val="00AC2E95"/>
    <w:rsid w:val="00AC72C2"/>
    <w:rsid w:val="00AF1A0E"/>
    <w:rsid w:val="00B00B58"/>
    <w:rsid w:val="00B31321"/>
    <w:rsid w:val="00B401C0"/>
    <w:rsid w:val="00B41453"/>
    <w:rsid w:val="00B51ED2"/>
    <w:rsid w:val="00B53E51"/>
    <w:rsid w:val="00B578EB"/>
    <w:rsid w:val="00B72552"/>
    <w:rsid w:val="00B72F55"/>
    <w:rsid w:val="00B75E14"/>
    <w:rsid w:val="00B76AD9"/>
    <w:rsid w:val="00BA12BB"/>
    <w:rsid w:val="00BA7212"/>
    <w:rsid w:val="00BB3AF0"/>
    <w:rsid w:val="00BC70A6"/>
    <w:rsid w:val="00BF569E"/>
    <w:rsid w:val="00C2432C"/>
    <w:rsid w:val="00C40EFB"/>
    <w:rsid w:val="00C678BD"/>
    <w:rsid w:val="00C704BC"/>
    <w:rsid w:val="00C82125"/>
    <w:rsid w:val="00C95936"/>
    <w:rsid w:val="00CA272B"/>
    <w:rsid w:val="00CB4DBA"/>
    <w:rsid w:val="00CC2E8F"/>
    <w:rsid w:val="00CD4A5B"/>
    <w:rsid w:val="00CE5E53"/>
    <w:rsid w:val="00CE6E89"/>
    <w:rsid w:val="00CF4DA1"/>
    <w:rsid w:val="00D03071"/>
    <w:rsid w:val="00D03C1B"/>
    <w:rsid w:val="00D1361F"/>
    <w:rsid w:val="00D170CB"/>
    <w:rsid w:val="00D174B4"/>
    <w:rsid w:val="00D422AA"/>
    <w:rsid w:val="00D50095"/>
    <w:rsid w:val="00D61B9F"/>
    <w:rsid w:val="00D63788"/>
    <w:rsid w:val="00D74AED"/>
    <w:rsid w:val="00D81FE5"/>
    <w:rsid w:val="00DA59C2"/>
    <w:rsid w:val="00DA711D"/>
    <w:rsid w:val="00DB0436"/>
    <w:rsid w:val="00DB121A"/>
    <w:rsid w:val="00DD65D3"/>
    <w:rsid w:val="00DE6DCC"/>
    <w:rsid w:val="00DF29C3"/>
    <w:rsid w:val="00DF3941"/>
    <w:rsid w:val="00E03CB9"/>
    <w:rsid w:val="00E145BB"/>
    <w:rsid w:val="00E14A1F"/>
    <w:rsid w:val="00E21145"/>
    <w:rsid w:val="00E41007"/>
    <w:rsid w:val="00E47A6C"/>
    <w:rsid w:val="00E608CC"/>
    <w:rsid w:val="00E9138D"/>
    <w:rsid w:val="00EA2E32"/>
    <w:rsid w:val="00EB5F9D"/>
    <w:rsid w:val="00EC0E8B"/>
    <w:rsid w:val="00EC6428"/>
    <w:rsid w:val="00EE13CA"/>
    <w:rsid w:val="00EE28BC"/>
    <w:rsid w:val="00F03D19"/>
    <w:rsid w:val="00F10CD0"/>
    <w:rsid w:val="00F22822"/>
    <w:rsid w:val="00F24998"/>
    <w:rsid w:val="00F2531D"/>
    <w:rsid w:val="00F27236"/>
    <w:rsid w:val="00F41F30"/>
    <w:rsid w:val="00F53566"/>
    <w:rsid w:val="00F573F2"/>
    <w:rsid w:val="00F773FB"/>
    <w:rsid w:val="00F80946"/>
    <w:rsid w:val="00F928C6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03C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03C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2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47</cp:revision>
  <dcterms:created xsi:type="dcterms:W3CDTF">2020-12-10T08:17:00Z</dcterms:created>
  <dcterms:modified xsi:type="dcterms:W3CDTF">2021-02-15T10:25:00Z</dcterms:modified>
</cp:coreProperties>
</file>